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36"/>
          <w:szCs w:val="36"/>
        </w:rPr>
      </w:pPr>
      <w:r>
        <w:rPr>
          <w:rFonts w:hint="default" w:ascii="Times New Roman" w:hAnsi="Times New Roman" w:cs="Times New Roman"/>
          <w:sz w:val="36"/>
          <w:szCs w:val="36"/>
        </w:rPr>
        <w:t>陕西嘉惠矿业技术有限公司突发环境事件</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36"/>
          <w:szCs w:val="36"/>
          <w:lang w:val="en-US" w:eastAsia="zh-CN"/>
        </w:rPr>
      </w:pPr>
      <w:r>
        <w:rPr>
          <w:rFonts w:hint="default" w:ascii="Times New Roman" w:hAnsi="Times New Roman" w:cs="Times New Roman"/>
          <w:sz w:val="36"/>
          <w:szCs w:val="36"/>
        </w:rPr>
        <w:t>应急预案风险</w:t>
      </w:r>
      <w:r>
        <w:rPr>
          <w:rFonts w:hint="default" w:ascii="Times New Roman" w:hAnsi="Times New Roman" w:cs="Times New Roman"/>
          <w:sz w:val="36"/>
          <w:szCs w:val="36"/>
          <w:lang w:val="en-US" w:eastAsia="zh-CN"/>
        </w:rPr>
        <w:t>等级变更情况说明</w:t>
      </w:r>
    </w:p>
    <w:p>
      <w:pPr>
        <w:adjustRightInd w:val="0"/>
        <w:spacing w:line="360" w:lineRule="auto"/>
        <w:ind w:left="0" w:leftChars="0" w:firstLine="0" w:firstLineChars="0"/>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第一版应急预案：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陕西嘉惠矿业技术有限公司于2018年8月发布了《90万吨/年酸性球团矿项目突发环境事件应急预案》（编号：JHHJYJYA-2018，第一版）。根据“环境风险分析”篇章分析，公司涉及的危险化学品主要为高炉煤气，另外还存在危险废物泄漏的风险。其中涉气风险物质高炉煤气最大存在量是</w:t>
      </w:r>
      <w:r>
        <w:rPr>
          <w:rFonts w:hint="eastAsia" w:ascii="Times New Roman" w:hAnsi="Times New Roman" w:cs="Times New Roman"/>
          <w:sz w:val="28"/>
          <w:szCs w:val="28"/>
          <w:lang w:val="en-US" w:eastAsia="zh-CN"/>
        </w:rPr>
        <w:t>按照</w:t>
      </w:r>
      <w:r>
        <w:rPr>
          <w:rFonts w:hint="default" w:ascii="Times New Roman" w:hAnsi="Times New Roman" w:cs="Times New Roman"/>
          <w:sz w:val="28"/>
          <w:szCs w:val="28"/>
          <w:lang w:val="en-US" w:eastAsia="zh-CN"/>
        </w:rPr>
        <w:t>最不利爆炸后关闭阀门前10min的泄漏量及关闭阀门后管道在线量</w:t>
      </w:r>
      <w:r>
        <w:rPr>
          <w:rFonts w:hint="eastAsia" w:ascii="Times New Roman" w:hAnsi="Times New Roman" w:cs="Times New Roman"/>
          <w:sz w:val="28"/>
          <w:szCs w:val="28"/>
          <w:lang w:val="en-US" w:eastAsia="zh-CN"/>
        </w:rPr>
        <w:t>进行</w:t>
      </w:r>
      <w:r>
        <w:rPr>
          <w:rFonts w:hint="default" w:ascii="Times New Roman" w:hAnsi="Times New Roman" w:cs="Times New Roman"/>
          <w:sz w:val="28"/>
          <w:szCs w:val="28"/>
          <w:lang w:val="en-US" w:eastAsia="zh-CN"/>
        </w:rPr>
        <w:t>计算</w:t>
      </w:r>
      <w:r>
        <w:rPr>
          <w:rFonts w:hint="eastAsia" w:ascii="Times New Roman" w:hAnsi="Times New Roman" w:cs="Times New Roman"/>
          <w:sz w:val="28"/>
          <w:szCs w:val="28"/>
          <w:lang w:val="en-US" w:eastAsia="zh-CN"/>
        </w:rPr>
        <w:t>，涉气风险物质数量与临界量比值</w:t>
      </w:r>
      <w:r>
        <w:rPr>
          <w:rFonts w:hint="eastAsia" w:ascii="Times New Roman" w:hAnsi="Times New Roman" w:cs="Times New Roman"/>
          <w:b/>
          <w:bCs/>
          <w:sz w:val="36"/>
          <w:szCs w:val="36"/>
          <w:lang w:val="en-US" w:eastAsia="zh-CN"/>
        </w:rPr>
        <w:t>Q&gt;1</w:t>
      </w:r>
      <w:r>
        <w:rPr>
          <w:rFonts w:hint="default" w:ascii="Times New Roman" w:hAnsi="Times New Roman" w:cs="Times New Roman"/>
          <w:sz w:val="36"/>
          <w:szCs w:val="36"/>
          <w:lang w:val="en-US" w:eastAsia="zh-CN"/>
        </w:rPr>
        <w:t>。</w:t>
      </w:r>
      <w:r>
        <w:rPr>
          <w:rFonts w:hint="default" w:ascii="Times New Roman" w:hAnsi="Times New Roman" w:cs="Times New Roman"/>
          <w:sz w:val="28"/>
          <w:szCs w:val="28"/>
          <w:lang w:val="en-US" w:eastAsia="zh-CN"/>
        </w:rPr>
        <w:t>经“环境风险分析”篇章判定，公司风险等级属于较大[较大-大气（Q2-M1-E1）+一般-水（Q0）]。</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第二版应急预案：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2020年公司进行提升改造，升级改造后产品产能由年产90万吨球团变为年产240万吨球团，因此公司于2020年12月对原有预案进行修编，形成《陕西嘉惠矿业技术有限公司球团矿技术升级改造项目突发环境事件应急预案》（预案编号：JHHJYJYA-2020，第二版）。根据实际情况，公司涉及的风险物质数量未发生改变，主要变化为涉气环境风险物质（高炉煤气）的最大存在总量发生改变</w:t>
      </w:r>
      <w:r>
        <w:rPr>
          <w:rFonts w:hint="eastAsia" w:ascii="Times New Roman" w:hAnsi="Times New Roman" w:cs="Times New Roman"/>
          <w:sz w:val="28"/>
          <w:szCs w:val="28"/>
          <w:lang w:val="en-US" w:eastAsia="zh-CN"/>
        </w:rPr>
        <w:t>。</w:t>
      </w:r>
      <w:r>
        <w:rPr>
          <w:rFonts w:hint="default" w:ascii="Times New Roman" w:hAnsi="Times New Roman" w:cs="Times New Roman"/>
          <w:sz w:val="28"/>
          <w:szCs w:val="28"/>
          <w:lang w:val="en-US" w:eastAsia="zh-CN"/>
        </w:rPr>
        <w:t>根据《企业突发环境事件风险分级方法》（HJ941-2018）计算公司所涉及的每种环境风险物质在厂界内的最大存在总量与其对应的临界量的比值Q</w:t>
      </w:r>
      <w:r>
        <w:rPr>
          <w:rFonts w:hint="eastAsia" w:ascii="Times New Roman" w:hAnsi="Times New Roman" w:cs="Times New Roman"/>
          <w:sz w:val="28"/>
          <w:szCs w:val="28"/>
          <w:lang w:val="en-US" w:eastAsia="zh-CN"/>
        </w:rPr>
        <w:t>大小确定环境风险等级。</w:t>
      </w:r>
      <w:r>
        <w:rPr>
          <w:rFonts w:hint="default" w:ascii="Times New Roman" w:hAnsi="Times New Roman" w:cs="Times New Roman"/>
          <w:sz w:val="28"/>
          <w:szCs w:val="28"/>
          <w:lang w:val="en-US" w:eastAsia="zh-CN"/>
        </w:rPr>
        <w:t>因此</w:t>
      </w:r>
      <w:r>
        <w:rPr>
          <w:rFonts w:hint="eastAsia" w:ascii="Times New Roman" w:hAnsi="Times New Roman" w:cs="Times New Roman"/>
          <w:sz w:val="28"/>
          <w:szCs w:val="28"/>
          <w:lang w:val="en-US" w:eastAsia="zh-CN"/>
        </w:rPr>
        <w:t>在</w:t>
      </w:r>
      <w:r>
        <w:rPr>
          <w:rFonts w:hint="default" w:ascii="Times New Roman" w:hAnsi="Times New Roman" w:cs="Times New Roman"/>
          <w:sz w:val="28"/>
          <w:szCs w:val="28"/>
          <w:lang w:val="en-US" w:eastAsia="zh-CN"/>
        </w:rPr>
        <w:t>第二版“环境风险分析”中，高炉煤气最大存在量</w:t>
      </w:r>
      <w:r>
        <w:rPr>
          <w:rFonts w:hint="eastAsia" w:ascii="Times New Roman" w:hAnsi="Times New Roman" w:cs="Times New Roman"/>
          <w:sz w:val="28"/>
          <w:szCs w:val="28"/>
          <w:lang w:val="en-US" w:eastAsia="zh-CN"/>
        </w:rPr>
        <w:t>依据</w:t>
      </w:r>
      <w:r>
        <w:rPr>
          <w:rFonts w:hint="default" w:ascii="Times New Roman" w:hAnsi="Times New Roman" w:cs="Times New Roman"/>
          <w:sz w:val="28"/>
          <w:szCs w:val="28"/>
          <w:lang w:val="en-US" w:eastAsia="zh-CN"/>
        </w:rPr>
        <w:t>标准按照厂区最大实际最大存在量进行计算（高炉煤气依靠厂内加压站，管道长度450m，压力密闭输送，23Kpa）</w:t>
      </w:r>
      <w:r>
        <w:rPr>
          <w:rFonts w:hint="eastAsia" w:ascii="Times New Roman" w:hAnsi="Times New Roman" w:cs="Times New Roman"/>
          <w:sz w:val="28"/>
          <w:szCs w:val="28"/>
          <w:lang w:val="en-US" w:eastAsia="zh-CN"/>
        </w:rPr>
        <w:t>，涉气风险物质数量与临界量比值</w:t>
      </w:r>
      <w:bookmarkStart w:id="0" w:name="_GoBack"/>
      <w:r>
        <w:rPr>
          <w:rFonts w:hint="eastAsia" w:ascii="Times New Roman" w:hAnsi="Times New Roman" w:cs="Times New Roman"/>
          <w:b/>
          <w:bCs/>
          <w:sz w:val="36"/>
          <w:szCs w:val="36"/>
          <w:lang w:val="en-US" w:eastAsia="zh-CN"/>
        </w:rPr>
        <w:t>Q&lt;1</w:t>
      </w:r>
      <w:bookmarkEnd w:id="0"/>
      <w:r>
        <w:rPr>
          <w:rFonts w:hint="default" w:ascii="Times New Roman" w:hAnsi="Times New Roman" w:cs="Times New Roman"/>
          <w:sz w:val="28"/>
          <w:szCs w:val="28"/>
          <w:lang w:val="en-US" w:eastAsia="zh-CN"/>
        </w:rPr>
        <w:t>。经“环境风险分析”篇章判定，公司目前风险等级属于“一般[一般-大气（Q0-M1-E1）+一般-水（Q0-M1-E3）]”。</w:t>
      </w:r>
    </w:p>
    <w:p>
      <w:pPr>
        <w:bidi w:val="0"/>
        <w:jc w:val="right"/>
        <w:rPr>
          <w:rFonts w:hint="default" w:ascii="Times New Roman" w:hAnsi="Times New Roman" w:cs="Times New Roman"/>
          <w:b/>
          <w:bCs/>
          <w:sz w:val="30"/>
          <w:szCs w:val="30"/>
          <w:lang w:val="en-US" w:eastAsia="zh-CN"/>
        </w:rPr>
      </w:pPr>
    </w:p>
    <w:p>
      <w:pPr>
        <w:bidi w:val="0"/>
        <w:jc w:val="right"/>
        <w:rPr>
          <w:rFonts w:hint="default" w:ascii="Times New Roman" w:hAnsi="Times New Roman" w:cs="Times New Roman"/>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jc w:val="right"/>
        <w:textAlignment w:val="auto"/>
        <w:rPr>
          <w:rFonts w:hint="default" w:ascii="Times New Roman" w:hAnsi="Times New Roman" w:cs="Times New Roman"/>
          <w:b/>
          <w:bCs/>
          <w:sz w:val="30"/>
          <w:szCs w:val="30"/>
          <w:lang w:val="en-US" w:eastAsia="zh-CN"/>
        </w:rPr>
      </w:pPr>
      <w:r>
        <w:rPr>
          <w:rFonts w:hint="default" w:ascii="Times New Roman" w:hAnsi="Times New Roman" w:cs="Times New Roman"/>
          <w:b/>
          <w:bCs/>
          <w:sz w:val="30"/>
          <w:szCs w:val="30"/>
          <w:lang w:val="en-US" w:eastAsia="zh-CN"/>
        </w:rPr>
        <w:t>陕西嘉惠矿业技术有限公司</w:t>
      </w:r>
    </w:p>
    <w:p>
      <w:pPr>
        <w:keepNext w:val="0"/>
        <w:keepLines w:val="0"/>
        <w:pageBreakBefore w:val="0"/>
        <w:widowControl w:val="0"/>
        <w:kinsoku/>
        <w:wordWrap/>
        <w:overflowPunct/>
        <w:topLinePunct w:val="0"/>
        <w:autoSpaceDE/>
        <w:autoSpaceDN/>
        <w:bidi w:val="0"/>
        <w:adjustRightInd/>
        <w:snapToGrid/>
        <w:spacing w:line="480" w:lineRule="auto"/>
        <w:jc w:val="right"/>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2021年</w:t>
      </w:r>
      <w:r>
        <w:rPr>
          <w:rFonts w:hint="eastAsia" w:ascii="Times New Roman" w:hAnsi="Times New Roman" w:cs="Times New Roman"/>
          <w:b/>
          <w:bCs/>
          <w:sz w:val="28"/>
          <w:szCs w:val="28"/>
          <w:lang w:val="en-US" w:eastAsia="zh-CN"/>
        </w:rPr>
        <w:t>0</w:t>
      </w:r>
      <w:r>
        <w:rPr>
          <w:rFonts w:hint="default" w:ascii="Times New Roman" w:hAnsi="Times New Roman" w:cs="Times New Roman"/>
          <w:b/>
          <w:bCs/>
          <w:sz w:val="28"/>
          <w:szCs w:val="28"/>
          <w:lang w:val="en-US" w:eastAsia="zh-CN"/>
        </w:rPr>
        <w:t>4月23日</w:t>
      </w:r>
    </w:p>
    <w:p>
      <w:pPr>
        <w:pStyle w:val="2"/>
        <w:rPr>
          <w:rFonts w:hint="default" w:ascii="Times New Roman" w:hAnsi="Times New Roman" w:cs="Times New Roman"/>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8F4F77"/>
    <w:rsid w:val="00370553"/>
    <w:rsid w:val="048610AE"/>
    <w:rsid w:val="07392642"/>
    <w:rsid w:val="13A02D04"/>
    <w:rsid w:val="210668C5"/>
    <w:rsid w:val="23AC2671"/>
    <w:rsid w:val="37FD0FA4"/>
    <w:rsid w:val="3CCC7FAA"/>
    <w:rsid w:val="490367D6"/>
    <w:rsid w:val="49403972"/>
    <w:rsid w:val="4B960272"/>
    <w:rsid w:val="52187F23"/>
    <w:rsid w:val="54052D7F"/>
    <w:rsid w:val="5C1573F1"/>
    <w:rsid w:val="5CF73038"/>
    <w:rsid w:val="63861114"/>
    <w:rsid w:val="6B3E5008"/>
    <w:rsid w:val="6B8F4F77"/>
    <w:rsid w:val="7A355A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00" w:lineRule="exact"/>
      <w:ind w:firstLine="200" w:firstLineChars="200"/>
      <w:jc w:val="both"/>
    </w:pPr>
    <w:rPr>
      <w:rFonts w:asciiTheme="minorAscii" w:hAnsiTheme="minorAsci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rFonts w:asciiTheme="minorAscii" w:hAnsiTheme="minorAscii"/>
      <w:b/>
      <w:kern w:val="44"/>
      <w:sz w:val="44"/>
      <w:szCs w:val="22"/>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szCs w:val="2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rFonts w:asciiTheme="minorAscii" w:hAnsiTheme="minorAscii"/>
      <w:b/>
      <w:sz w:val="32"/>
      <w:szCs w:val="22"/>
    </w:rPr>
  </w:style>
  <w:style w:type="character" w:default="1" w:styleId="7">
    <w:name w:val="Default Paragraph Font"/>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5">
    <w:name w:val="footer"/>
    <w:basedOn w:val="1"/>
    <w:link w:val="8"/>
    <w:qFormat/>
    <w:uiPriority w:val="0"/>
    <w:pPr>
      <w:tabs>
        <w:tab w:val="center" w:pos="4153"/>
        <w:tab w:val="right" w:pos="8306"/>
      </w:tabs>
      <w:snapToGrid w:val="0"/>
      <w:spacing w:line="240" w:lineRule="atLeast"/>
      <w:jc w:val="left"/>
    </w:pPr>
    <w:rPr>
      <w:sz w:val="18"/>
      <w:szCs w:val="18"/>
    </w:rPr>
  </w:style>
  <w:style w:type="character" w:customStyle="1" w:styleId="8">
    <w:name w:val="页脚 Char"/>
    <w:basedOn w:val="7"/>
    <w:link w:val="5"/>
    <w:semiHidden/>
    <w:qFormat/>
    <w:uiPriority w:val="99"/>
    <w:rPr>
      <w:rFonts w:eastAsiaTheme="minorEastAsia"/>
      <w:sz w:val="18"/>
      <w:szCs w:val="18"/>
    </w:rPr>
  </w:style>
  <w:style w:type="paragraph" w:customStyle="1" w:styleId="9">
    <w:name w:val="C2"/>
    <w:basedOn w:val="1"/>
    <w:qFormat/>
    <w:uiPriority w:val="0"/>
    <w:rPr>
      <w:kern w:val="0"/>
      <w:sz w:val="28"/>
      <w:szCs w:val="20"/>
    </w:rPr>
  </w:style>
  <w:style w:type="paragraph" w:customStyle="1" w:styleId="10">
    <w:name w:val="表格文字"/>
    <w:basedOn w:val="1"/>
    <w:qFormat/>
    <w:uiPriority w:val="0"/>
    <w:pPr>
      <w:adjustRightInd w:val="0"/>
      <w:snapToGrid w:val="0"/>
      <w:jc w:val="center"/>
    </w:pPr>
    <w:rPr>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2021-04-23T01:56:00Z</dcterms:created>
  <dc:creator>可乐不冒泡</dc:creator>
  <cp:lastModifiedBy>可乐不冒泡</cp:lastModifiedBy>
  <dcterms:modified xsi:type="dcterms:W3CDTF">2021-04-23T04:42:30Z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2F94979DDEA141148F2282A5EE28C6A3</vt:lpwstr>
  </property>
</Properties>
</file>